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广西城镇排行业“（污水处理）企业管理先进单位”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评选基本项评分表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申报单位：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级别：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tbl>
      <w:tblPr>
        <w:tblStyle w:val="3"/>
        <w:tblW w:w="10114" w:type="dxa"/>
        <w:tblInd w:w="-7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2932"/>
        <w:gridCol w:w="2882"/>
        <w:gridCol w:w="995"/>
        <w:gridCol w:w="1281"/>
        <w:gridCol w:w="1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9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29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评分项（满分）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自评分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专家评分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96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一、污水处理负荷率（满分6分）</w:t>
            </w: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污水处理负荷率（满分6分）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70%，（0分）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负荷率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85%（5分）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③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85%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负荷率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95%（6分）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996" w:type="dxa"/>
            <w:vMerge w:val="restart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污染物削减率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（满分20）</w:t>
            </w: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COD</w:t>
            </w:r>
            <w:r>
              <w:rPr>
                <w:rFonts w:hint="eastAsia"/>
                <w:sz w:val="21"/>
                <w:szCs w:val="21"/>
                <w:vertAlign w:val="subscript"/>
                <w:lang w:val="en-US" w:eastAsia="zh-CN"/>
              </w:rPr>
              <w:t>Mn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削减率（满分4分）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70%，（0分）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削减率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80%（2分）</w:t>
            </w:r>
          </w:p>
          <w:p>
            <w:pPr>
              <w:jc w:val="left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削减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率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90%（3分）</w:t>
            </w:r>
          </w:p>
          <w:p>
            <w:pPr>
              <w:ind w:firstLine="630" w:firstLineChars="300"/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90%（4分）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996" w:type="dxa"/>
            <w:vMerge w:val="continue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BOD削减率（满分4分）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70%，（0分）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、&lt;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80%（2分）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、&lt;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90%（3分）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90%（4分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99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③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NH</w:t>
            </w:r>
            <w:r>
              <w:rPr>
                <w:rFonts w:hint="eastAsia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削减率（满分4分）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70%，（0分）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、≤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80%（2分）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、&lt;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90%（3分）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90%（4分）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④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TN削减率（满分4分）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25%，（0分）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25%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、≤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35%（2分）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35%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、≤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45%（3分）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45%（4分）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9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⑤T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P削减率（满分4分）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70%，（0分）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70%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、≤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80%（2分）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80%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、&lt;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90%（3分）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90%（4分）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996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污泥脱水</w:t>
            </w:r>
          </w:p>
          <w:p>
            <w:pPr>
              <w:numPr>
                <w:numId w:val="0"/>
              </w:numPr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（满分6分）</w:t>
            </w: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污泥脱水（满分6分）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60%、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80%（4分）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80%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（0分）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③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60%（6分）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96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4、污泥处置（满分8分）</w:t>
            </w: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垃圾填埋场卫生填埋（5分）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有效证明材料（5分）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9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好氧堆肥厌氧消化协同焚烧深度脱水（8分）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有效证明材料（8分）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5、尾水排放（满分6分）</w:t>
            </w: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尾水排放标准（满分6分）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一级A（6分）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一级B（4分）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96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6、污水处理厂能耗（满分8分）</w:t>
            </w:r>
          </w:p>
        </w:tc>
        <w:tc>
          <w:tcPr>
            <w:tcW w:w="2932" w:type="dxa"/>
            <w:vMerge w:val="restart"/>
            <w:vAlign w:val="center"/>
          </w:tcPr>
          <w:p>
            <w:pPr>
              <w:jc w:val="left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规模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5.0万T/d</w:t>
            </w:r>
          </w:p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（满分8分）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一级A，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0.35kwh/T（8分）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0.35kwh/T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0.40kwh/T（6分）</w:t>
            </w:r>
          </w:p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0.40kwh/T（0分）</w:t>
            </w:r>
          </w:p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96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Merge w:val="continue"/>
            <w:vAlign w:val="center"/>
          </w:tcPr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一级B，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0.30kwh/T（8分）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0.30kwh/T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0.35kwh/T（6分）</w:t>
            </w:r>
          </w:p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0.35kwh/T（0分）</w:t>
            </w:r>
          </w:p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996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Merge w:val="restart"/>
            <w:vAlign w:val="center"/>
          </w:tcPr>
          <w:p>
            <w:pPr>
              <w:jc w:val="left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规模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5.0万T/d</w:t>
            </w:r>
          </w:p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（满分8分）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一级A，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0.30kwh/T（8分）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0.30kwh/T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0.35kwh/T（6分）</w:t>
            </w:r>
          </w:p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0.35kwh/T（0分）</w:t>
            </w:r>
          </w:p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</w:trPr>
        <w:tc>
          <w:tcPr>
            <w:tcW w:w="996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Merge w:val="continue"/>
            <w:tcBorders/>
            <w:vAlign w:val="center"/>
          </w:tcPr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一级B，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025kwh/T（8分）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0.25kwh/T</w:t>
            </w:r>
          </w:p>
          <w:p>
            <w:pPr>
              <w:jc w:val="center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≤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0.30kwh/T（6分）</w:t>
            </w:r>
          </w:p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0.30kwh/T（0分）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96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7、运行管理（满分20分）</w:t>
            </w:r>
          </w:p>
        </w:tc>
        <w:tc>
          <w:tcPr>
            <w:tcW w:w="293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持证上岗（4分）</w:t>
            </w:r>
          </w:p>
        </w:tc>
        <w:tc>
          <w:tcPr>
            <w:tcW w:w="2882" w:type="dxa"/>
            <w:vAlign w:val="center"/>
          </w:tcPr>
          <w:p>
            <w:pPr>
              <w:tabs>
                <w:tab w:val="left" w:pos="2112"/>
              </w:tabs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上岗证复印件</w:t>
            </w:r>
          </w:p>
        </w:tc>
        <w:tc>
          <w:tcPr>
            <w:tcW w:w="995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96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生产运行记录（4分）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96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③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中控平台运行管理（12分）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top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96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8、安全管理（满分12分）</w:t>
            </w: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安全管理，机构、规章制度（6分）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96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应急预案、应急演练（6分）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9、化验室管理（满分8分）</w:t>
            </w: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进水、出水污泥，正常检测</w:t>
            </w:r>
          </w:p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（8分）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10、资产利润率（满分6分）</w:t>
            </w:r>
          </w:p>
        </w:tc>
        <w:tc>
          <w:tcPr>
            <w:tcW w:w="2932" w:type="dxa"/>
            <w:vAlign w:val="center"/>
          </w:tcPr>
          <w:p>
            <w:pPr>
              <w:jc w:val="left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企业净资产利润率（6分）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vertAlign w:val="baseline"/>
                <w:lang w:val="en-US" w:eastAsia="zh-CN"/>
              </w:rPr>
              <w:t>1%得1分，最高分为6分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114" w:type="dxa"/>
            <w:gridSpan w:val="6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合计分：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114" w:type="dxa"/>
            <w:gridSpan w:val="6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专家签名：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114" w:type="dxa"/>
            <w:gridSpan w:val="6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日期：          年    月  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日</w:t>
            </w:r>
          </w:p>
        </w:tc>
      </w:tr>
    </w:tbl>
    <w:p>
      <w:pPr>
        <w:rPr>
          <w:rFonts w:hint="default"/>
          <w:sz w:val="21"/>
          <w:szCs w:val="21"/>
          <w:lang w:val="en-US" w:eastAsia="zh-CN"/>
        </w:rPr>
      </w:pPr>
    </w:p>
    <w:p>
      <w:p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说明：评分项目、评分标准按照《广西城镇排水行业“（污水处理）企业管理先进单位”参评条件及评分标准》执行。</w:t>
      </w:r>
    </w:p>
    <w:sectPr>
      <w:pgSz w:w="11906" w:h="16838"/>
      <w:pgMar w:top="130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C9B9E0"/>
    <w:multiLevelType w:val="singleLevel"/>
    <w:tmpl w:val="E0C9B9E0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FB0E5469"/>
    <w:multiLevelType w:val="singleLevel"/>
    <w:tmpl w:val="FB0E546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B6ABB"/>
    <w:rsid w:val="11EB6ABB"/>
    <w:rsid w:val="15A609EA"/>
    <w:rsid w:val="518A13BC"/>
    <w:rsid w:val="5FDC7E2C"/>
    <w:rsid w:val="660543F9"/>
    <w:rsid w:val="7241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2020-06-10T07:31:00Z</dcterms:created>
  <dc:creator>Administrator</dc:creator>
  <cp:lastModifiedBy>Administrator</cp:lastModifiedBy>
  <cp:lastPrinted>2020-06-15T00:44:00Z</cp:lastPrinted>
  <dcterms:modified xsi:type="dcterms:W3CDTF">2020-06-17T07:33:44Z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